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一周师资与管理人员培训计划</w:t>
      </w:r>
    </w:p>
    <w:p>
      <w:pPr>
        <w:spacing w:line="0" w:lineRule="atLeast"/>
        <w:jc w:val="center"/>
        <w:rPr>
          <w:rFonts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（加拿大萨省工学院）</w:t>
      </w:r>
    </w:p>
    <w:p>
      <w:pPr>
        <w:pStyle w:val="2"/>
        <w:spacing w:line="0" w:lineRule="atLeast"/>
        <w:ind w:left="720" w:hanging="720"/>
        <w:rPr>
          <w:color w:val="000000" w:themeColor="text1"/>
        </w:rPr>
      </w:pPr>
      <w:r>
        <w:t xml:space="preserve">Itinerary </w:t>
      </w:r>
      <w:r>
        <w:rPr>
          <w:rFonts w:hint="eastAsia"/>
          <w:color w:val="000000" w:themeColor="text1"/>
          <w:lang w:eastAsia="zh-CN"/>
        </w:rPr>
        <w:t>计划</w:t>
      </w:r>
    </w:p>
    <w:tbl>
      <w:tblPr>
        <w:tblStyle w:val="7"/>
        <w:tblW w:w="981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0" w:type="dxa"/>
            <w:gridSpan w:val="3"/>
            <w:shd w:val="clear" w:color="auto" w:fill="D8D8D8" w:themeFill="background1" w:themeFillShade="D9"/>
          </w:tcPr>
          <w:p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Teacher Training </w:t>
            </w: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90" w:type="dxa"/>
            <w:shd w:val="clear" w:color="auto" w:fill="D8D8D8" w:themeFill="background1" w:themeFillShade="D9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Day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440" w:type="dxa"/>
            <w:shd w:val="clear" w:color="auto" w:fill="D8D8D8" w:themeFill="background1" w:themeFillShade="D9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380" w:type="dxa"/>
            <w:shd w:val="clear" w:color="auto" w:fill="D8D8D8" w:themeFill="background1" w:themeFillShade="D9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Content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Day 1</w:t>
            </w:r>
          </w:p>
          <w:p>
            <w:pPr>
              <w:spacing w:line="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第一天</w:t>
            </w:r>
          </w:p>
        </w:tc>
        <w:tc>
          <w:tcPr>
            <w:tcW w:w="1440" w:type="dxa"/>
          </w:tcPr>
          <w:p>
            <w:pPr>
              <w:spacing w:line="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9:00 – 10:00</w:t>
            </w:r>
          </w:p>
        </w:tc>
        <w:tc>
          <w:tcPr>
            <w:tcW w:w="7380" w:type="dxa"/>
          </w:tcPr>
          <w:p>
            <w:pPr>
              <w:spacing w:after="0" w:line="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Module 1:  Introduction</w:t>
            </w: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导论</w:t>
            </w:r>
          </w:p>
          <w:p>
            <w:pPr>
              <w:pStyle w:val="10"/>
              <w:widowControl w:val="0"/>
              <w:numPr>
                <w:ilvl w:val="0"/>
                <w:numId w:val="2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Ice-breaker activity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破冰活动</w:t>
            </w:r>
          </w:p>
          <w:p>
            <w:pPr>
              <w:pStyle w:val="10"/>
              <w:widowControl w:val="0"/>
              <w:numPr>
                <w:ilvl w:val="0"/>
                <w:numId w:val="2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Pre-assessment of participants (workshop handbook)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学前测试</w:t>
            </w:r>
          </w:p>
          <w:p>
            <w:pPr>
              <w:pStyle w:val="10"/>
              <w:widowControl w:val="0"/>
              <w:numPr>
                <w:ilvl w:val="0"/>
                <w:numId w:val="2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Discussion of pre-assessment results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测试结果讨论</w:t>
            </w:r>
          </w:p>
          <w:p>
            <w:pPr>
              <w:pStyle w:val="10"/>
              <w:widowControl w:val="0"/>
              <w:numPr>
                <w:ilvl w:val="0"/>
                <w:numId w:val="2"/>
              </w:numPr>
              <w:spacing w:after="12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Review of lesson planning (workshop handbook)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学习计划导览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10:00 – 12:00</w:t>
            </w:r>
          </w:p>
        </w:tc>
        <w:tc>
          <w:tcPr>
            <w:tcW w:w="7380" w:type="dxa"/>
          </w:tcPr>
          <w:p>
            <w:pPr>
              <w:spacing w:after="0" w:line="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Module 2:  Instructional strategies for student engagement</w:t>
            </w: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促进学生学习的教学策略</w:t>
            </w:r>
          </w:p>
          <w:p>
            <w:pPr>
              <w:pStyle w:val="10"/>
              <w:widowControl w:val="0"/>
              <w:numPr>
                <w:ilvl w:val="0"/>
                <w:numId w:val="3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Examine characteristics of adult learners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学习者特点分析</w:t>
            </w:r>
          </w:p>
          <w:p>
            <w:pPr>
              <w:pStyle w:val="10"/>
              <w:widowControl w:val="0"/>
              <w:numPr>
                <w:ilvl w:val="0"/>
                <w:numId w:val="3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Review instructional strategies (jigsaw activity) (workshop handbook)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教学策略导览</w:t>
            </w:r>
          </w:p>
          <w:p>
            <w:pPr>
              <w:pStyle w:val="10"/>
              <w:widowControl w:val="0"/>
              <w:numPr>
                <w:ilvl w:val="1"/>
                <w:numId w:val="3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Direct instruction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直接教学</w:t>
            </w:r>
          </w:p>
          <w:p>
            <w:pPr>
              <w:pStyle w:val="10"/>
              <w:widowControl w:val="0"/>
              <w:numPr>
                <w:ilvl w:val="1"/>
                <w:numId w:val="3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Indirect instruction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间接教学</w:t>
            </w:r>
          </w:p>
          <w:p>
            <w:pPr>
              <w:pStyle w:val="10"/>
              <w:widowControl w:val="0"/>
              <w:numPr>
                <w:ilvl w:val="1"/>
                <w:numId w:val="3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Interactive instruction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互动教学</w:t>
            </w:r>
          </w:p>
          <w:p>
            <w:pPr>
              <w:pStyle w:val="10"/>
              <w:widowControl w:val="0"/>
              <w:numPr>
                <w:ilvl w:val="1"/>
                <w:numId w:val="3"/>
              </w:numPr>
              <w:spacing w:after="12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Experiential instruction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实验教学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Day 2</w:t>
            </w:r>
          </w:p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第二天</w:t>
            </w: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9:00 - 10:30</w:t>
            </w:r>
          </w:p>
        </w:tc>
        <w:tc>
          <w:tcPr>
            <w:tcW w:w="7380" w:type="dxa"/>
          </w:tcPr>
          <w:p>
            <w:pPr>
              <w:pStyle w:val="10"/>
              <w:widowControl w:val="0"/>
              <w:numPr>
                <w:ilvl w:val="0"/>
                <w:numId w:val="3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Module 2:  Instructional strategies for student engagement (Continued)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教学策略（续）</w:t>
            </w:r>
          </w:p>
          <w:p>
            <w:pPr>
              <w:pStyle w:val="10"/>
              <w:widowControl w:val="0"/>
              <w:numPr>
                <w:ilvl w:val="0"/>
                <w:numId w:val="4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Review of questioning techniques and giving feedback (workshop handbook)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提问技巧与反馈导览</w:t>
            </w:r>
          </w:p>
          <w:p>
            <w:pPr>
              <w:pStyle w:val="10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Practice questioning techniques 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提问技巧练习</w:t>
            </w:r>
          </w:p>
          <w:p>
            <w:pPr>
              <w:pStyle w:val="10"/>
              <w:widowControl w:val="0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Practice providing feedback (case studies from participants)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反馈技巧练习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10:30 – 12:00</w:t>
            </w:r>
          </w:p>
        </w:tc>
        <w:tc>
          <w:tcPr>
            <w:tcW w:w="7380" w:type="dxa"/>
          </w:tcPr>
          <w:p>
            <w:pPr>
              <w:spacing w:after="0" w:line="0" w:lineRule="atLeast"/>
              <w:rPr>
                <w:rFonts w:ascii="Calibri" w:hAnsi="Calibri" w:eastAsia="MS Mincho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Module 3:  Classroom assessment techniques</w:t>
            </w: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课堂测试技巧</w:t>
            </w:r>
          </w:p>
          <w:p>
            <w:pPr>
              <w:pStyle w:val="10"/>
              <w:widowControl w:val="0"/>
              <w:numPr>
                <w:ilvl w:val="0"/>
                <w:numId w:val="5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Review pre-assessment strategies (workshop handbook)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考前策略导览</w:t>
            </w:r>
          </w:p>
          <w:p>
            <w:pPr>
              <w:pStyle w:val="10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Review formative assessment strategies (workshop handbook)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形成性评价策略导览</w:t>
            </w:r>
          </w:p>
          <w:p>
            <w:pPr>
              <w:pStyle w:val="10"/>
              <w:widowControl w:val="0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Practice classroom assessment techniques (group work)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课堂测试联系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Day 3</w:t>
            </w:r>
          </w:p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第三天</w:t>
            </w: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9:00 – </w:t>
            </w:r>
          </w:p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10:30</w:t>
            </w:r>
          </w:p>
        </w:tc>
        <w:tc>
          <w:tcPr>
            <w:tcW w:w="7380" w:type="dxa"/>
          </w:tcPr>
          <w:p>
            <w:pPr>
              <w:spacing w:after="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Module 4:  Classroom management techniques</w:t>
            </w: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课堂管理技巧</w:t>
            </w:r>
          </w:p>
          <w:p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Discuss importance of setting learning expectations/routines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讨论学习预期/学习路径的重要性</w:t>
            </w:r>
          </w:p>
          <w:p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Apply classroom management strategies (case studies from participants)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课堂管理策略应用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10:30 – 12:00</w:t>
            </w:r>
          </w:p>
        </w:tc>
        <w:tc>
          <w:tcPr>
            <w:tcW w:w="7380" w:type="dxa"/>
          </w:tcPr>
          <w:p>
            <w:pPr>
              <w:spacing w:after="0" w:line="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Module 5:  Curriculum design </w:t>
            </w: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课程设计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0" w:line="0" w:lineRule="atLeast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Review a curriculum development model (workshop handbook)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课程开发模式导览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Practice developing learning outcomes using Bloom’s Taxonomy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练习使用布鲁姆模型开发学习结果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Compose instructional strategies that match learning outcomes</w:t>
            </w: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构建与学习结果匹配的教学策略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Day 4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第四天</w:t>
            </w:r>
          </w:p>
        </w:tc>
        <w:tc>
          <w:tcPr>
            <w:tcW w:w="144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9:00-10:30</w:t>
            </w:r>
          </w:p>
        </w:tc>
        <w:tc>
          <w:tcPr>
            <w:tcW w:w="7380" w:type="dxa"/>
          </w:tcPr>
          <w:p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Module 5:  Curriculum design (Continued)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课程设计（续）</w:t>
            </w:r>
          </w:p>
          <w:p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summative evaluation strategies (workshop handbook)</w:t>
            </w:r>
            <w:r>
              <w:rPr>
                <w:rFonts w:hint="eastAsia"/>
                <w:sz w:val="21"/>
                <w:szCs w:val="21"/>
                <w:lang w:eastAsia="zh-CN"/>
              </w:rPr>
              <w:t>终结性评价策略导览</w:t>
            </w:r>
          </w:p>
          <w:p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how learning outcomes will be measured</w:t>
            </w:r>
            <w:r>
              <w:rPr>
                <w:rFonts w:hint="eastAsia"/>
                <w:sz w:val="21"/>
                <w:szCs w:val="21"/>
                <w:lang w:eastAsia="zh-CN"/>
              </w:rPr>
              <w:t>讨论学习结果如何测量</w:t>
            </w:r>
          </w:p>
          <w:p>
            <w:pPr>
              <w:pStyle w:val="10"/>
              <w:widowControl w:val="0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Propose an assessment tool to evaluate a learning outcome</w:t>
            </w:r>
            <w:r>
              <w:rPr>
                <w:rFonts w:hint="eastAsia"/>
                <w:sz w:val="21"/>
                <w:szCs w:val="21"/>
                <w:lang w:eastAsia="zh-CN"/>
              </w:rPr>
              <w:t>提出一款学习结果测量工具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</w:tc>
        <w:tc>
          <w:tcPr>
            <w:tcW w:w="144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 – 12:00</w:t>
            </w:r>
          </w:p>
        </w:tc>
        <w:tc>
          <w:tcPr>
            <w:tcW w:w="7380" w:type="dxa"/>
          </w:tcPr>
          <w:p>
            <w:pPr>
              <w:spacing w:after="0"/>
              <w:rPr>
                <w:rFonts w:eastAsia="MS Mincho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Module 6: Plan a microteaching lesson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计划一堂微课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Construct an assessment strategy (as per Module 5)</w:t>
            </w:r>
            <w:r>
              <w:rPr>
                <w:rFonts w:hint="eastAsia"/>
                <w:sz w:val="21"/>
                <w:szCs w:val="21"/>
                <w:lang w:eastAsia="zh-CN"/>
              </w:rPr>
              <w:t>构建一个评价策略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Propose an instructional strategy (as per Module 2)</w:t>
            </w:r>
            <w:r>
              <w:rPr>
                <w:rFonts w:hint="eastAsia"/>
                <w:sz w:val="21"/>
                <w:szCs w:val="21"/>
                <w:lang w:eastAsia="zh-CN"/>
              </w:rPr>
              <w:t>提出一个教学策略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 a lesson</w:t>
            </w:r>
            <w:r>
              <w:rPr>
                <w:rFonts w:hint="eastAsia"/>
                <w:sz w:val="21"/>
                <w:szCs w:val="21"/>
                <w:lang w:eastAsia="zh-CN"/>
              </w:rPr>
              <w:t>计划一堂课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Day 5</w:t>
            </w:r>
          </w:p>
        </w:tc>
        <w:tc>
          <w:tcPr>
            <w:tcW w:w="144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 – 12:00</w:t>
            </w:r>
          </w:p>
        </w:tc>
        <w:tc>
          <w:tcPr>
            <w:tcW w:w="7380" w:type="dxa"/>
          </w:tcPr>
          <w:p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Module 7: Microteaching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Conduct a microteaching lesson</w:t>
            </w:r>
            <w:r>
              <w:rPr>
                <w:rFonts w:hint="eastAsia"/>
                <w:sz w:val="21"/>
                <w:szCs w:val="21"/>
                <w:lang w:eastAsia="zh-CN"/>
              </w:rPr>
              <w:t>安排一堂微课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questioning techniques</w:t>
            </w:r>
            <w:r>
              <w:rPr>
                <w:rFonts w:hint="eastAsia"/>
                <w:sz w:val="21"/>
                <w:szCs w:val="21"/>
                <w:lang w:eastAsia="zh-CN"/>
              </w:rPr>
              <w:t>使用提问技巧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Practice feedback strategies</w:t>
            </w:r>
            <w:r>
              <w:rPr>
                <w:rFonts w:hint="eastAsia"/>
                <w:sz w:val="21"/>
                <w:szCs w:val="21"/>
                <w:lang w:eastAsia="zh-CN"/>
              </w:rPr>
              <w:t>练习反馈策略</w:t>
            </w:r>
          </w:p>
          <w:p>
            <w:pPr>
              <w:pStyle w:val="10"/>
              <w:widowControl w:val="0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Demonstrate reflective practice methodology</w:t>
            </w:r>
            <w:r>
              <w:rPr>
                <w:rFonts w:hint="eastAsia"/>
                <w:sz w:val="21"/>
                <w:szCs w:val="21"/>
                <w:lang w:eastAsia="zh-CN"/>
              </w:rPr>
              <w:t>示范反射练习方法</w:t>
            </w:r>
          </w:p>
        </w:tc>
      </w:tr>
    </w:tbl>
    <w:p>
      <w:pPr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>Note:</w:t>
      </w:r>
      <w:r>
        <w:rPr>
          <w:color w:val="000000" w:themeColor="text1"/>
        </w:rPr>
        <w:tab/>
      </w:r>
      <w:r>
        <w:rPr>
          <w:color w:val="000000" w:themeColor="text1"/>
        </w:rPr>
        <w:t>Proposed schedule is for the morning workshop.  The schedule for the afternoon workshop will be the same.</w:t>
      </w:r>
    </w:p>
    <w:p>
      <w:pPr>
        <w:ind w:left="720" w:hanging="720"/>
        <w:rPr>
          <w:rFonts w:eastAsia="MS Mincho"/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注：本计划为上午内容，下午内容相同。</w:t>
      </w:r>
    </w:p>
    <w:p>
      <w:pPr>
        <w:ind w:left="720" w:hanging="720"/>
        <w:rPr>
          <w:color w:val="000000" w:themeColor="text1"/>
        </w:rPr>
      </w:pPr>
    </w:p>
    <w:p>
      <w:pPr>
        <w:ind w:left="720" w:hanging="720"/>
        <w:rPr>
          <w:color w:val="000000" w:themeColor="text1"/>
        </w:rPr>
      </w:pPr>
    </w:p>
    <w:p>
      <w:pPr>
        <w:ind w:left="720" w:hanging="720"/>
        <w:rPr>
          <w:color w:val="000000" w:themeColor="text1"/>
        </w:rPr>
      </w:pPr>
    </w:p>
    <w:p>
      <w:pPr>
        <w:ind w:left="720" w:hanging="720"/>
        <w:rPr>
          <w:color w:val="000000" w:themeColor="text1"/>
        </w:rPr>
      </w:pPr>
    </w:p>
    <w:p>
      <w:pPr>
        <w:ind w:left="720" w:hanging="720"/>
        <w:rPr>
          <w:color w:val="000000" w:themeColor="text1"/>
        </w:rPr>
      </w:pPr>
    </w:p>
    <w:p>
      <w:pPr>
        <w:ind w:left="720" w:hanging="720"/>
        <w:rPr>
          <w:color w:val="000000" w:themeColor="text1"/>
        </w:rPr>
      </w:pPr>
    </w:p>
    <w:p>
      <w:pPr>
        <w:ind w:left="720" w:hanging="720"/>
        <w:rPr>
          <w:color w:val="000000" w:themeColor="text1"/>
        </w:rPr>
      </w:pPr>
      <w:bookmarkStart w:id="0" w:name="_GoBack"/>
      <w:bookmarkEnd w:id="0"/>
    </w:p>
    <w:p>
      <w:pPr>
        <w:ind w:left="720" w:hanging="720"/>
        <w:rPr>
          <w:color w:val="000000" w:themeColor="text1"/>
        </w:rPr>
      </w:pPr>
    </w:p>
    <w:p>
      <w:pPr>
        <w:ind w:left="720" w:hanging="720"/>
        <w:rPr>
          <w:color w:val="000000" w:themeColor="text1"/>
        </w:rPr>
      </w:pPr>
    </w:p>
    <w:tbl>
      <w:tblPr>
        <w:tblStyle w:val="7"/>
        <w:tblW w:w="990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3"/>
            <w:shd w:val="clear" w:color="auto" w:fill="D8D8D8" w:themeFill="background1" w:themeFillShade="D9"/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Leadership Training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管理培训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D8D8D8" w:themeFill="background1" w:themeFillShade="D9"/>
          </w:tcPr>
          <w:p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Day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440" w:type="dxa"/>
            <w:shd w:val="clear" w:color="auto" w:fill="D8D8D8" w:themeFill="background1" w:themeFillShade="D9"/>
          </w:tcPr>
          <w:p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Time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380" w:type="dxa"/>
            <w:shd w:val="clear" w:color="auto" w:fill="D8D8D8" w:themeFill="background1" w:themeFillShade="D9"/>
          </w:tcPr>
          <w:p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Content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Day 1</w:t>
            </w:r>
          </w:p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第一天</w:t>
            </w:r>
          </w:p>
        </w:tc>
        <w:tc>
          <w:tcPr>
            <w:tcW w:w="144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9:00-12:00</w:t>
            </w:r>
          </w:p>
        </w:tc>
        <w:tc>
          <w:tcPr>
            <w:tcW w:w="7380" w:type="dxa"/>
          </w:tcPr>
          <w:p>
            <w:pPr>
              <w:spacing w:after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Module 1:  Educational leadership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教育领导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  <w:t xml:space="preserve">Describe management skills and traits </w:t>
            </w:r>
            <w:r>
              <w:rPr>
                <w:rFonts w:hint="eastAsia" w:ascii="Calibri" w:hAnsi="Calibri" w:cstheme="minorBidi"/>
                <w:color w:val="000000" w:themeColor="text1"/>
                <w:sz w:val="21"/>
                <w:szCs w:val="21"/>
                <w:lang w:eastAsia="zh-CN"/>
              </w:rPr>
              <w:t>管理技能与特征描述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  <w:t xml:space="preserve">Describe leadership roles and traits </w:t>
            </w:r>
            <w:r>
              <w:rPr>
                <w:rFonts w:hint="eastAsia" w:ascii="Calibri" w:hAnsi="Calibri" w:cstheme="minorBidi"/>
                <w:color w:val="000000" w:themeColor="text1"/>
                <w:sz w:val="21"/>
                <w:szCs w:val="21"/>
                <w:lang w:eastAsia="zh-CN"/>
              </w:rPr>
              <w:t>领导角色与特征描述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  <w:t xml:space="preserve">Examine convergence between management and leadership </w:t>
            </w:r>
            <w:r>
              <w:rPr>
                <w:rFonts w:hint="eastAsia" w:ascii="Calibri" w:hAnsi="Calibri" w:cstheme="minorBidi"/>
                <w:color w:val="000000" w:themeColor="text1"/>
                <w:sz w:val="21"/>
                <w:szCs w:val="21"/>
                <w:lang w:eastAsia="zh-CN"/>
              </w:rPr>
              <w:t>分析管理与领导的共同点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  <w:t xml:space="preserve">Differentiate between the need for leadership and the need for management in the educational setting </w:t>
            </w:r>
            <w:r>
              <w:rPr>
                <w:rFonts w:hint="eastAsia" w:ascii="Calibri" w:hAnsi="Calibri" w:cstheme="minorBidi"/>
                <w:color w:val="000000" w:themeColor="text1"/>
                <w:sz w:val="21"/>
                <w:szCs w:val="21"/>
                <w:lang w:eastAsia="zh-CN"/>
              </w:rPr>
              <w:t>教育系统中对管理和领导的需求区别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38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Day 2</w:t>
            </w:r>
          </w:p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第二天</w:t>
            </w:r>
          </w:p>
        </w:tc>
        <w:tc>
          <w:tcPr>
            <w:tcW w:w="144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9:00-12:00</w:t>
            </w:r>
          </w:p>
        </w:tc>
        <w:tc>
          <w:tcPr>
            <w:tcW w:w="7380" w:type="dxa"/>
          </w:tcPr>
          <w:p>
            <w:pPr>
              <w:spacing w:after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Module 2:  Theories and styles of leadership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领导理论与类型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  <w:t xml:space="preserve">Discuss various leadership styles </w:t>
            </w:r>
            <w:r>
              <w:rPr>
                <w:rFonts w:hint="eastAsia" w:ascii="Calibri" w:hAnsi="Calibri" w:cstheme="minorBidi"/>
                <w:color w:val="000000" w:themeColor="text1"/>
                <w:sz w:val="21"/>
                <w:szCs w:val="21"/>
                <w:lang w:eastAsia="zh-CN"/>
              </w:rPr>
              <w:t>不同领导类型讨论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  <w:t>Compare the strengths and weaknesses of the leadership theories</w:t>
            </w:r>
            <w:r>
              <w:rPr>
                <w:rFonts w:hint="eastAsia" w:ascii="Calibri" w:hAnsi="Calibri" w:cstheme="minorBidi"/>
                <w:color w:val="000000" w:themeColor="text1"/>
                <w:sz w:val="21"/>
                <w:szCs w:val="21"/>
                <w:lang w:eastAsia="zh-CN"/>
              </w:rPr>
              <w:t>比较领导力理论的优缺点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theme="minorBidi"/>
                <w:color w:val="000000" w:themeColor="text1"/>
                <w:sz w:val="21"/>
                <w:szCs w:val="21"/>
              </w:rPr>
              <w:t>Examine the historical development of leadership theories</w:t>
            </w:r>
            <w:r>
              <w:rPr>
                <w:rFonts w:hint="eastAsia" w:ascii="Calibri" w:hAnsi="Calibri" w:cstheme="minorBidi"/>
                <w:color w:val="000000" w:themeColor="text1"/>
                <w:sz w:val="21"/>
                <w:szCs w:val="21"/>
                <w:lang w:eastAsia="zh-CN"/>
              </w:rPr>
              <w:t>分析领导力理论的发展历史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Day 3</w:t>
            </w:r>
          </w:p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第三天</w:t>
            </w:r>
          </w:p>
        </w:tc>
        <w:tc>
          <w:tcPr>
            <w:tcW w:w="144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9:00-12:00</w:t>
            </w:r>
          </w:p>
        </w:tc>
        <w:tc>
          <w:tcPr>
            <w:tcW w:w="7380" w:type="dxa"/>
          </w:tcPr>
          <w:p>
            <w:pPr>
              <w:spacing w:after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Module 3:   Strategic thinking and acting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战略思维与行动</w:t>
            </w:r>
          </w:p>
          <w:p>
            <w:pPr>
              <w:pStyle w:val="10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Define strategic thinking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战略思维定义</w:t>
            </w:r>
          </w:p>
          <w:p>
            <w:pPr>
              <w:pStyle w:val="10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Review strategic thinking skills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战略思维技能导览</w:t>
            </w:r>
          </w:p>
          <w:p>
            <w:pPr>
              <w:pStyle w:val="10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Discuss parameters for strategic acting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讨论战略行动的界限</w:t>
            </w:r>
          </w:p>
          <w:p>
            <w:pPr>
              <w:pStyle w:val="10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Strategic thinking and acting: case study and personal reflection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战略思维与行动：案例与个人反馈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Day 4</w:t>
            </w:r>
          </w:p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第四天</w:t>
            </w:r>
          </w:p>
        </w:tc>
        <w:tc>
          <w:tcPr>
            <w:tcW w:w="144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9:00-12:00</w:t>
            </w:r>
          </w:p>
        </w:tc>
        <w:tc>
          <w:tcPr>
            <w:tcW w:w="7380" w:type="dxa"/>
          </w:tcPr>
          <w:p>
            <w:pPr>
              <w:spacing w:after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Module 4:  Conflict resolution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冲突解决方案</w:t>
            </w:r>
          </w:p>
          <w:p>
            <w:pPr>
              <w:pStyle w:val="10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Examine Thomas-Kilmann Conflict Model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分析托马斯-科尔曼冲突模型</w:t>
            </w:r>
          </w:p>
          <w:p>
            <w:pPr>
              <w:pStyle w:val="10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Examine how conflict can be positive in management and leadership roles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分析冲突在管理与领导中的积极作用</w:t>
            </w:r>
          </w:p>
          <w:p>
            <w:pPr>
              <w:pStyle w:val="10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Discuss strategies to effectively utilize conflict situations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讨论有效利用冲突的策略</w:t>
            </w:r>
          </w:p>
          <w:p>
            <w:pPr>
              <w:pStyle w:val="10"/>
              <w:widowControl w:val="0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Develop specific strategies to deal with conflict situations (case studies from participants)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开发专门的冲突策略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Day 5</w:t>
            </w:r>
          </w:p>
          <w:p>
            <w:pPr>
              <w:rPr>
                <w:rFonts w:ascii="Calibri" w:hAnsi="Calibri" w:eastAsia="MS Mincho"/>
                <w:color w:val="000000" w:themeColor="text1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第五天</w:t>
            </w:r>
          </w:p>
        </w:tc>
        <w:tc>
          <w:tcPr>
            <w:tcW w:w="1440" w:type="dxa"/>
          </w:tcPr>
          <w:p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9:00-12:00</w:t>
            </w:r>
          </w:p>
        </w:tc>
        <w:tc>
          <w:tcPr>
            <w:tcW w:w="7380" w:type="dxa"/>
          </w:tcPr>
          <w:p>
            <w:pPr>
              <w:spacing w:after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Module 5:  Leading effective teams</w:t>
            </w:r>
            <w:r>
              <w:rPr>
                <w:rFonts w:hint="eastAsia" w:ascii="Calibri" w:hAnsi="Calibri"/>
                <w:b/>
                <w:color w:val="000000" w:themeColor="text1"/>
                <w:sz w:val="21"/>
                <w:szCs w:val="21"/>
                <w:lang w:eastAsia="zh-CN"/>
              </w:rPr>
              <w:t>有效领导团队</w:t>
            </w:r>
          </w:p>
          <w:p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Discuss group work versus team work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讨论群组工作于团队工作</w:t>
            </w:r>
          </w:p>
          <w:p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Discuss types of teams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讨论团队形态</w:t>
            </w:r>
          </w:p>
          <w:p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Discuss stages of team development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讨论团队开发的阶段</w:t>
            </w:r>
          </w:p>
          <w:p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Model empowering behavior </w:t>
            </w:r>
            <w:r>
              <w:rPr>
                <w:rFonts w:hint="eastAsia" w:ascii="Calibri" w:hAnsi="Calibri"/>
                <w:color w:val="000000" w:themeColor="text1"/>
                <w:sz w:val="21"/>
                <w:szCs w:val="21"/>
                <w:lang w:eastAsia="zh-CN"/>
              </w:rPr>
              <w:t>赋能行为模型</w:t>
            </w:r>
          </w:p>
        </w:tc>
      </w:tr>
    </w:tbl>
    <w:p>
      <w:pPr>
        <w:spacing w:line="0" w:lineRule="atLeast"/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>Note:</w:t>
      </w:r>
      <w:r>
        <w:rPr>
          <w:color w:val="000000" w:themeColor="text1"/>
        </w:rPr>
        <w:tab/>
      </w:r>
      <w:r>
        <w:rPr>
          <w:color w:val="000000" w:themeColor="text1"/>
        </w:rPr>
        <w:t>Proposed schedule is for the morning workshop.  The schedule for the afternoon workshop will be the same.</w:t>
      </w:r>
    </w:p>
    <w:p>
      <w:pPr>
        <w:ind w:left="720" w:hanging="720"/>
        <w:rPr>
          <w:rFonts w:eastAsia="MS Mincho"/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注：本计划为上午内容，下午内容相同。</w:t>
      </w:r>
    </w:p>
    <w:p>
      <w:pPr>
        <w:pStyle w:val="2"/>
      </w:pPr>
      <w:sdt>
        <w:sdtPr>
          <w:alias w:val="Deliverables:"/>
          <w:tag w:val="Deliverables:"/>
          <w:id w:val="1659027517"/>
          <w:placeholder>
            <w:docPart w:val="0A3B5A372DD84565B5742E861770FEDE"/>
          </w:placeholder>
          <w:temporary/>
          <w:showingPlcHdr/>
        </w:sdtPr>
        <w:sdtContent>
          <w:r>
            <w:t>Deliverables</w:t>
          </w:r>
        </w:sdtContent>
      </w:sdt>
      <w:r>
        <w:rPr>
          <w:rFonts w:hint="eastAsia"/>
          <w:lang w:eastAsia="zh-CN"/>
        </w:rPr>
        <w:t>预期成果</w:t>
      </w:r>
    </w:p>
    <w:p>
      <w:pPr>
        <w:pStyle w:val="10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Participants will receive in-depth knowledge about the governance, leadership, and practice of the Canadian colleges and institutes in post-secondary vocational and technical education. </w:t>
      </w:r>
    </w:p>
    <w:p>
      <w:pPr>
        <w:pStyle w:val="10"/>
        <w:rPr>
          <w:rFonts w:eastAsia="MS Mincho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学员将深入了解加拿大高职教育在治理、领导力和实践中的知识。</w:t>
      </w:r>
    </w:p>
    <w:p>
      <w:pPr>
        <w:pStyle w:val="10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Participants will have the opportunity to strengthen and enhance their teaching, learning and leadership practices.</w:t>
      </w:r>
    </w:p>
    <w:p>
      <w:pPr>
        <w:pStyle w:val="1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学员有机会强化并提高教学和管理领导能力。</w:t>
      </w:r>
    </w:p>
    <w:p>
      <w:pPr>
        <w:pStyle w:val="10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Project materials, resources, relevant skills integrated into Chinese framework </w:t>
      </w:r>
    </w:p>
    <w:p>
      <w:pPr>
        <w:pStyle w:val="1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材料、资源及相关技能将更加贴近中国实际。</w:t>
      </w:r>
    </w:p>
    <w:p>
      <w:pPr>
        <w:pStyle w:val="10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Cooperation between Saskatchewan Polytechnic and Zhejiang Technical Institute of Economics</w:t>
      </w:r>
    </w:p>
    <w:p>
      <w:pPr>
        <w:pStyle w:val="1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促进两校的合作</w:t>
      </w:r>
    </w:p>
    <w:p>
      <w:pPr>
        <w:pStyle w:val="10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Certificate of Achievement </w:t>
      </w:r>
    </w:p>
    <w:p>
      <w:pPr>
        <w:ind w:left="7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获得证书</w:t>
      </w:r>
    </w:p>
    <w:p>
      <w:pPr>
        <w:pStyle w:val="2"/>
      </w:pPr>
      <w:r>
        <w:t xml:space="preserve">Timing </w:t>
      </w:r>
      <w:r>
        <w:rPr>
          <w:rFonts w:hint="eastAsia"/>
          <w:lang w:eastAsia="zh-CN"/>
        </w:rPr>
        <w:t>时间</w:t>
      </w:r>
    </w:p>
    <w:p>
      <w:pPr>
        <w:rPr>
          <w:lang w:eastAsia="zh-CN"/>
        </w:rPr>
      </w:pPr>
      <w:r>
        <w:br w:type="textWrapping"/>
      </w:r>
      <w:r>
        <w:rPr>
          <w:sz w:val="21"/>
          <w:szCs w:val="21"/>
        </w:rPr>
        <w:t>April 2019 2019</w:t>
      </w:r>
      <w:r>
        <w:rPr>
          <w:rFonts w:hint="eastAsia"/>
          <w:sz w:val="21"/>
          <w:szCs w:val="21"/>
        </w:rPr>
        <w:t>年4月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127645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82D"/>
    <w:multiLevelType w:val="multilevel"/>
    <w:tmpl w:val="05BD582D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7E2"/>
    <w:multiLevelType w:val="multilevel"/>
    <w:tmpl w:val="073C47E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393E66"/>
    <w:multiLevelType w:val="multilevel"/>
    <w:tmpl w:val="16393E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ED7BAD"/>
    <w:multiLevelType w:val="multilevel"/>
    <w:tmpl w:val="23ED7B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9435C6"/>
    <w:multiLevelType w:val="multilevel"/>
    <w:tmpl w:val="389435C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2992101"/>
    <w:multiLevelType w:val="multilevel"/>
    <w:tmpl w:val="429921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A612625"/>
    <w:multiLevelType w:val="multilevel"/>
    <w:tmpl w:val="4A61262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C0E0841"/>
    <w:multiLevelType w:val="multilevel"/>
    <w:tmpl w:val="4C0E084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3005F43"/>
    <w:multiLevelType w:val="multilevel"/>
    <w:tmpl w:val="53005F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2470819"/>
    <w:multiLevelType w:val="multilevel"/>
    <w:tmpl w:val="624708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74339E6"/>
    <w:multiLevelType w:val="multilevel"/>
    <w:tmpl w:val="674339E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8B0482D"/>
    <w:multiLevelType w:val="multilevel"/>
    <w:tmpl w:val="78B0482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C1748DD"/>
    <w:multiLevelType w:val="multilevel"/>
    <w:tmpl w:val="7C1748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00"/>
    <w:rsid w:val="001128CF"/>
    <w:rsid w:val="00116BB6"/>
    <w:rsid w:val="0012595B"/>
    <w:rsid w:val="00247B9F"/>
    <w:rsid w:val="0042476E"/>
    <w:rsid w:val="00531BA4"/>
    <w:rsid w:val="00532F02"/>
    <w:rsid w:val="00552498"/>
    <w:rsid w:val="005C5A00"/>
    <w:rsid w:val="005F1C78"/>
    <w:rsid w:val="006F28DB"/>
    <w:rsid w:val="00861537"/>
    <w:rsid w:val="00954567"/>
    <w:rsid w:val="00A12E31"/>
    <w:rsid w:val="00B02BCF"/>
    <w:rsid w:val="00B375B1"/>
    <w:rsid w:val="00B50EFA"/>
    <w:rsid w:val="00C217CE"/>
    <w:rsid w:val="00CF78E4"/>
    <w:rsid w:val="00D07DBD"/>
    <w:rsid w:val="00D63196"/>
    <w:rsid w:val="00F44604"/>
    <w:rsid w:val="00FB4BC3"/>
    <w:rsid w:val="3F874BE4"/>
    <w:rsid w:val="6FB23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88" w:lineRule="auto"/>
    </w:pPr>
    <w:rPr>
      <w:rFonts w:asciiTheme="minorHAnsi" w:hAnsiTheme="minorHAnsi" w:eastAsiaTheme="minorEastAsia" w:cstheme="minorBidi"/>
      <w:color w:val="3F3F3F" w:themeColor="text1" w:themeTint="BF"/>
      <w:kern w:val="0"/>
      <w:sz w:val="18"/>
      <w:szCs w:val="18"/>
      <w:lang w:val="en-US" w:eastAsia="ja-JP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numPr>
        <w:ilvl w:val="0"/>
        <w:numId w:val="1"/>
      </w:numPr>
      <w:spacing w:before="360" w:after="120" w:line="240" w:lineRule="auto"/>
      <w:outlineLvl w:val="1"/>
    </w:pPr>
    <w:rPr>
      <w:b/>
      <w:bCs/>
      <w:color w:val="2F5496" w:themeColor="accent1" w:themeShade="BF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 w:line="240" w:lineRule="auto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</w:style>
  <w:style w:type="table" w:styleId="7">
    <w:name w:val="Table Grid"/>
    <w:basedOn w:val="6"/>
    <w:qFormat/>
    <w:uiPriority w:val="39"/>
    <w:rPr>
      <w:color w:val="3F3F3F" w:themeColor="text1" w:themeTint="BF"/>
      <w:kern w:val="0"/>
      <w:sz w:val="18"/>
      <w:szCs w:val="18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b/>
      <w:bCs/>
      <w:color w:val="2F5496" w:themeColor="accent1" w:themeShade="BF"/>
      <w:kern w:val="0"/>
      <w:sz w:val="24"/>
      <w:szCs w:val="18"/>
      <w:lang w:eastAsia="ja-JP"/>
    </w:rPr>
  </w:style>
  <w:style w:type="paragraph" w:styleId="10">
    <w:name w:val="List Paragraph"/>
    <w:basedOn w:val="1"/>
    <w:unhideWhenUsed/>
    <w:qFormat/>
    <w:uiPriority w:val="34"/>
    <w:pPr>
      <w:ind w:left="720"/>
      <w:contextualSpacing/>
    </w:p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en-US" w:bidi="ar-SA"/>
    </w:rPr>
  </w:style>
  <w:style w:type="character" w:customStyle="1" w:styleId="12">
    <w:name w:val="页眉 Char"/>
    <w:basedOn w:val="8"/>
    <w:link w:val="5"/>
    <w:qFormat/>
    <w:uiPriority w:val="99"/>
    <w:rPr>
      <w:color w:val="3F3F3F" w:themeColor="text1" w:themeTint="BF"/>
      <w:kern w:val="0"/>
      <w:sz w:val="18"/>
      <w:szCs w:val="18"/>
      <w:lang w:eastAsia="ja-JP"/>
    </w:rPr>
  </w:style>
  <w:style w:type="character" w:customStyle="1" w:styleId="13">
    <w:name w:val="页脚 Char"/>
    <w:basedOn w:val="8"/>
    <w:link w:val="4"/>
    <w:qFormat/>
    <w:uiPriority w:val="99"/>
    <w:rPr>
      <w:color w:val="3F3F3F" w:themeColor="text1" w:themeTint="BF"/>
      <w:kern w:val="0"/>
      <w:sz w:val="18"/>
      <w:szCs w:val="18"/>
      <w:lang w:eastAsia="ja-JP"/>
    </w:rPr>
  </w:style>
  <w:style w:type="character" w:customStyle="1" w:styleId="14">
    <w:name w:val="批注框文本 Char"/>
    <w:basedOn w:val="8"/>
    <w:link w:val="3"/>
    <w:semiHidden/>
    <w:qFormat/>
    <w:uiPriority w:val="99"/>
    <w:rPr>
      <w:color w:val="3F3F3F" w:themeColor="text1" w:themeTint="BF"/>
      <w:kern w:val="0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A3B5A372DD84565B5742E861770FED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C92D34-158B-4B73-9399-B93D81F11C1B}"/>
      </w:docPartPr>
      <w:docPartBody>
        <w:p>
          <w:pPr>
            <w:pStyle w:val="4"/>
          </w:pPr>
          <w:r>
            <w:t>Deliverables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A55"/>
    <w:rsid w:val="004D20CD"/>
    <w:rsid w:val="00700DD9"/>
    <w:rsid w:val="00795CE3"/>
    <w:rsid w:val="007E5A55"/>
    <w:rsid w:val="008B4DB2"/>
    <w:rsid w:val="00D967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A3B5A372DD84565B5742E861770FED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709</Words>
  <Characters>4047</Characters>
  <Lines>33</Lines>
  <Paragraphs>9</Paragraphs>
  <TotalTime>1</TotalTime>
  <ScaleCrop>false</ScaleCrop>
  <LinksUpToDate>false</LinksUpToDate>
  <CharactersWithSpaces>4747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2019-02-28T12:34:00Z</dcterms:created>
  <dc:creator>Lenovo</dc:creator>
  <cp:lastModifiedBy>羊羊</cp:lastModifiedBy>
  <cp:lastPrinted>2019-03-04T02:55:56Z</cp:lastPrinted>
  <dcterms:modified xsi:type="dcterms:W3CDTF">2019-03-04T02:56:00Z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